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11" w:rsidRPr="00D91678" w:rsidRDefault="0029487E" w:rsidP="00D91678">
      <w:pPr>
        <w:spacing w:before="120" w:after="120" w:line="360" w:lineRule="auto"/>
        <w:jc w:val="center"/>
        <w:rPr>
          <w:b/>
          <w:color w:val="auto"/>
          <w:sz w:val="32"/>
          <w:szCs w:val="32"/>
        </w:rPr>
      </w:pPr>
      <w:r w:rsidRPr="00D91678">
        <w:rPr>
          <w:b/>
          <w:color w:val="auto"/>
          <w:sz w:val="32"/>
          <w:szCs w:val="32"/>
        </w:rPr>
        <w:t>THÔNG TIN THUỐ</w:t>
      </w:r>
      <w:r w:rsidR="00EB3469" w:rsidRPr="00D91678">
        <w:rPr>
          <w:b/>
          <w:color w:val="auto"/>
          <w:sz w:val="32"/>
          <w:szCs w:val="32"/>
        </w:rPr>
        <w:t>C THÁNG 7</w:t>
      </w:r>
      <w:r w:rsidR="00E77B36" w:rsidRPr="00D91678">
        <w:rPr>
          <w:b/>
          <w:color w:val="auto"/>
          <w:sz w:val="32"/>
          <w:szCs w:val="32"/>
        </w:rPr>
        <w:t xml:space="preserve"> NĂM </w:t>
      </w:r>
      <w:r w:rsidRPr="00D91678">
        <w:rPr>
          <w:b/>
          <w:color w:val="auto"/>
          <w:sz w:val="32"/>
          <w:szCs w:val="32"/>
        </w:rPr>
        <w:t>2022</w:t>
      </w:r>
    </w:p>
    <w:p w:rsidR="00EB3469" w:rsidRPr="00D91678" w:rsidRDefault="00EB3469" w:rsidP="00D91678">
      <w:pPr>
        <w:spacing w:before="120" w:after="120" w:line="360" w:lineRule="auto"/>
        <w:rPr>
          <w:b/>
          <w:bCs/>
          <w:color w:val="auto"/>
          <w:sz w:val="28"/>
          <w:szCs w:val="28"/>
        </w:rPr>
      </w:pPr>
      <w:r w:rsidRPr="00D91678">
        <w:rPr>
          <w:b/>
          <w:bCs/>
          <w:color w:val="auto"/>
          <w:sz w:val="28"/>
          <w:szCs w:val="28"/>
        </w:rPr>
        <w:t>MHRA: Metformin và nguy cơ thi</w:t>
      </w:r>
      <w:bookmarkStart w:id="0" w:name="_GoBack"/>
      <w:bookmarkEnd w:id="0"/>
      <w:r w:rsidRPr="00D91678">
        <w:rPr>
          <w:b/>
          <w:bCs/>
          <w:color w:val="auto"/>
          <w:sz w:val="28"/>
          <w:szCs w:val="28"/>
        </w:rPr>
        <w:t>ếu hụt vitamin B12</w:t>
      </w:r>
    </w:p>
    <w:p w:rsidR="00EB3469" w:rsidRPr="00D91678" w:rsidRDefault="00EB3469" w:rsidP="00D91678">
      <w:pPr>
        <w:pStyle w:val="NormalWeb"/>
        <w:spacing w:before="120" w:beforeAutospacing="0" w:after="120" w:afterAutospacing="0" w:line="360" w:lineRule="auto"/>
        <w:jc w:val="both"/>
      </w:pPr>
      <w:r w:rsidRPr="00D91678">
        <w:t>Thiếu hụt vitamin B12 là một tác dụng không mong muốn thường gặp sử dụng metformin, đặc biệt là khi sử dụng metformin liều cao hoặc kéo dài, bệnh nhân có các yếu tố nguy cơ. Do đó, khuyến cáo theo dõi nồng độ vitamin B12 huyết thanh trên bệnh nhân đang được điều trị bằng metformin và có biểu hiện gợi ý thiếu vitamin B12. Ngoài ra, nên theo dõi định kỳ những bệnh nhân có các yếu tố nguy cơ thiếu hụt vitamin B12. </w:t>
      </w:r>
    </w:p>
    <w:p w:rsidR="00EB3469" w:rsidRPr="00D91678" w:rsidRDefault="00EB3469" w:rsidP="00D91678">
      <w:pPr>
        <w:pStyle w:val="NormalWeb"/>
        <w:spacing w:before="120" w:beforeAutospacing="0" w:after="120" w:afterAutospacing="0" w:line="360" w:lineRule="auto"/>
        <w:jc w:val="both"/>
      </w:pPr>
      <w:r w:rsidRPr="00D91678">
        <w:rPr>
          <w:rStyle w:val="Strong"/>
        </w:rPr>
        <w:t>Khuyến cáo dành cho nhân viên y tế:</w:t>
      </w:r>
    </w:p>
    <w:p w:rsidR="00EB3469" w:rsidRPr="00D91678" w:rsidRDefault="00EB3469" w:rsidP="00D91678">
      <w:pPr>
        <w:pStyle w:val="NormalWeb"/>
        <w:spacing w:before="120" w:beforeAutospacing="0" w:after="120" w:afterAutospacing="0" w:line="360" w:lineRule="auto"/>
        <w:jc w:val="both"/>
      </w:pPr>
      <w:r w:rsidRPr="00D91678">
        <w:t>- Metformin thường làm giảm nồng độ vitamin B12 của bệnh nhân, có khả năng dẫn đến thiếu hụt vitamin B12.</w:t>
      </w:r>
    </w:p>
    <w:p w:rsidR="00EB3469" w:rsidRPr="00D91678" w:rsidRDefault="00EB3469" w:rsidP="00D91678">
      <w:pPr>
        <w:pStyle w:val="NormalWeb"/>
        <w:spacing w:before="120" w:beforeAutospacing="0" w:after="120" w:afterAutospacing="0" w:line="360" w:lineRule="auto"/>
        <w:jc w:val="both"/>
      </w:pPr>
      <w:r w:rsidRPr="00D91678">
        <w:t>- Liều metformin càng cao, thời gian điều trị càng dài, và người có nhiều yếu tố nguy cơ thì khả năng thiếu hụt vitamin B12 càng lớn.</w:t>
      </w:r>
    </w:p>
    <w:p w:rsidR="00EB3469" w:rsidRPr="00D91678" w:rsidRDefault="00EB3469" w:rsidP="00D91678">
      <w:pPr>
        <w:pStyle w:val="NormalWeb"/>
        <w:spacing w:before="120" w:beforeAutospacing="0" w:after="120" w:afterAutospacing="0" w:line="360" w:lineRule="auto"/>
        <w:jc w:val="both"/>
      </w:pPr>
      <w:r w:rsidRPr="00D91678">
        <w:t>- Xét nghiệm nồng độ vitamin B12 huyết thanh nếu nghi ngờ có sự thiếu vitamin B12 (ví dụ, người bị bệnh thiếu máu hồng cầu khổng lồ hoặc có bệnh lý thần kinh mới khởi phát) và tuân theo các hướng dẫn lâm sàng hiện hành về theo dõi và xử trí tình trạng thiếu hụt vitamin B12.</w:t>
      </w:r>
    </w:p>
    <w:p w:rsidR="00EB3469" w:rsidRPr="00D91678" w:rsidRDefault="00EB3469" w:rsidP="00D91678">
      <w:pPr>
        <w:pStyle w:val="NormalWeb"/>
        <w:spacing w:before="120" w:beforeAutospacing="0" w:after="120" w:afterAutospacing="0" w:line="360" w:lineRule="auto"/>
        <w:jc w:val="both"/>
      </w:pPr>
      <w:r w:rsidRPr="00D91678">
        <w:t>- Cân nhắc theo dõi định kỳ vitamin B12 ở bệnh nhân có các yếu tố nguy cơ.</w:t>
      </w:r>
    </w:p>
    <w:p w:rsidR="00EB3469" w:rsidRPr="00D91678" w:rsidRDefault="00EB3469" w:rsidP="00D91678">
      <w:pPr>
        <w:pStyle w:val="NormalWeb"/>
        <w:spacing w:before="120" w:beforeAutospacing="0" w:after="120" w:afterAutospacing="0" w:line="360" w:lineRule="auto"/>
        <w:jc w:val="both"/>
      </w:pPr>
      <w:r w:rsidRPr="00D91678">
        <w:t>- Bắt đầu điều trị tình trạng thiếu hụt vitamin B12 phù hợp theo các hướng dẫn lâm sàng hiện hành; tiếp tục điều trị bằng metformin nếu dung nạp được và không có chống chỉ định. </w:t>
      </w:r>
    </w:p>
    <w:p w:rsidR="00EB3469" w:rsidRPr="00D91678" w:rsidRDefault="00EB3469" w:rsidP="00D91678">
      <w:pPr>
        <w:pStyle w:val="NormalWeb"/>
        <w:spacing w:before="120" w:beforeAutospacing="0" w:after="120" w:afterAutospacing="0" w:line="360" w:lineRule="auto"/>
        <w:jc w:val="both"/>
      </w:pPr>
      <w:r w:rsidRPr="00D91678">
        <w:rPr>
          <w:rStyle w:val="Strong"/>
        </w:rPr>
        <w:t>Khuyến cáo dành cho bệnh nhân và người chăm sóc:</w:t>
      </w:r>
    </w:p>
    <w:p w:rsidR="00EB3469" w:rsidRPr="00D91678" w:rsidRDefault="00EB3469" w:rsidP="00D91678">
      <w:pPr>
        <w:pStyle w:val="NormalWeb"/>
        <w:spacing w:before="120" w:beforeAutospacing="0" w:after="120" w:afterAutospacing="0" w:line="360" w:lineRule="auto"/>
        <w:jc w:val="both"/>
      </w:pPr>
      <w:r w:rsidRPr="00D91678">
        <w:t>- Khi đang sử dụng metformin, hãy trao đổi với các nhân viên y tế nếu xuất hiện các triệu chứng mới hay có tình trạng xấu đi của các triệu chứng như mệt mỏi nhiều, lưỡi đỏ và đau, cảm giác kim châm, da nhợt nhạt hoặc vàng – đây có thể là các dấu hiệu của nồng độ vitamin B12 thấp.</w:t>
      </w:r>
    </w:p>
    <w:p w:rsidR="00EB3469" w:rsidRPr="00D91678" w:rsidRDefault="00EB3469" w:rsidP="00D91678">
      <w:pPr>
        <w:pStyle w:val="NormalWeb"/>
        <w:spacing w:before="120" w:beforeAutospacing="0" w:after="120" w:afterAutospacing="0" w:line="360" w:lineRule="auto"/>
        <w:jc w:val="both"/>
      </w:pPr>
      <w:r w:rsidRPr="00D91678">
        <w:t>- Có thể cần xét nghiệm máu để xác định nguyên nhân gây ra các triệu chứng; các triệu chứng này cũng có thể do bệnh đái tháo đường hoặc các vấn đề sức khỏe khác.</w:t>
      </w:r>
    </w:p>
    <w:p w:rsidR="00EB3469" w:rsidRPr="00D91678" w:rsidRDefault="00EB3469" w:rsidP="00D91678">
      <w:pPr>
        <w:pStyle w:val="NormalWeb"/>
        <w:spacing w:before="120" w:beforeAutospacing="0" w:after="120" w:afterAutospacing="0" w:line="360" w:lineRule="auto"/>
        <w:jc w:val="both"/>
      </w:pPr>
      <w:r w:rsidRPr="00D91678">
        <w:t>- Có thể tiếp tục sử dụng metformin trong khi điều chỉnh nồng độ vitamin B12.</w:t>
      </w:r>
    </w:p>
    <w:p w:rsidR="00EB3469" w:rsidRPr="00D91678" w:rsidRDefault="00EB3469" w:rsidP="00D91678">
      <w:pPr>
        <w:pStyle w:val="NormalWeb"/>
        <w:spacing w:before="120" w:beforeAutospacing="0" w:after="120" w:afterAutospacing="0" w:line="360" w:lineRule="auto"/>
        <w:jc w:val="both"/>
      </w:pPr>
      <w:r w:rsidRPr="00D91678">
        <w:t>- Không ngừng điều trị metformin trước khi thảo luận với bác sĩ. </w:t>
      </w:r>
    </w:p>
    <w:p w:rsidR="00EB3469" w:rsidRPr="00D91678" w:rsidRDefault="00EB3469" w:rsidP="00D91678">
      <w:pPr>
        <w:pStyle w:val="NormalWeb"/>
        <w:spacing w:before="120" w:beforeAutospacing="0" w:after="120" w:afterAutospacing="0" w:line="360" w:lineRule="auto"/>
        <w:jc w:val="both"/>
      </w:pPr>
      <w:r w:rsidRPr="00D91678">
        <w:rPr>
          <w:rStyle w:val="Strong"/>
        </w:rPr>
        <w:lastRenderedPageBreak/>
        <w:t>Metformin và nguy cơ thiếu hụt vitamin B12</w:t>
      </w:r>
    </w:p>
    <w:p w:rsidR="00EB3469" w:rsidRPr="00D91678" w:rsidRDefault="00EB3469" w:rsidP="00D91678">
      <w:pPr>
        <w:pStyle w:val="NormalWeb"/>
        <w:spacing w:before="120" w:beforeAutospacing="0" w:after="120" w:afterAutospacing="0" w:line="360" w:lineRule="auto"/>
        <w:jc w:val="both"/>
      </w:pPr>
      <w:r w:rsidRPr="00D91678">
        <w:t>Metformin là thuốc điều trị bệnh đái tháo đường typ 2 và dự phòng trên bệnh nhân có nguy cơ cao (tiền đái tháo đường). Metformin có dạng bào chế viên nén giải phóng ngay, viên nén giải phóng có kiểm soát và dạng dung dịch uống.  </w:t>
      </w:r>
    </w:p>
    <w:p w:rsidR="00EB3469" w:rsidRPr="00D91678" w:rsidRDefault="00EB3469" w:rsidP="00D91678">
      <w:pPr>
        <w:pStyle w:val="NormalWeb"/>
        <w:spacing w:before="120" w:beforeAutospacing="0" w:after="120" w:afterAutospacing="0" w:line="360" w:lineRule="auto"/>
        <w:jc w:val="both"/>
      </w:pPr>
      <w:r w:rsidRPr="00D91678">
        <w:t>Vitamin B12 (cobalamin) là một vitamin thiết yếu của cơ thể, đóng vai trò quan trọng trong quá trình sản xuất tế bào máu và tế bào thần kinh.Vitamin B12 được tìm thấy trong thực phẩm có nguồn gốc động vật (sữa, pho mát, sữa chua, trứng...), và cũng được thêm vào một số thực phẩm như ngũ cốc ăn sáng....Các nguyên nhân phổ biến gây thiếu hụt vitamin B12 bao gồm nhiễm trùng, hội chứng kém hấp thu, do bệnh lý (bệnh Crohn, thiếu máu ác tính), cắt bỏ dạ dày và ăn uống không đủ chất. </w:t>
      </w:r>
    </w:p>
    <w:p w:rsidR="00EB3469" w:rsidRPr="00D91678" w:rsidRDefault="00EB3469" w:rsidP="00D91678">
      <w:pPr>
        <w:pStyle w:val="NormalWeb"/>
        <w:spacing w:before="120" w:beforeAutospacing="0" w:after="120" w:afterAutospacing="0" w:line="360" w:lineRule="auto"/>
        <w:jc w:val="both"/>
      </w:pPr>
      <w:r w:rsidRPr="00D91678">
        <w:t>Nếu sự thiếu hụt vitamin B12 ở mức độ nhẹ thì bệnh nhân thường không có triệu chứng gì, nếu không điều trị, thì sự thiếu hụt tăng lên với các triệu chứng của bệnh thiếu máu hồng cầu khổng lồ hoặc/và các bệnh lý thần kinh. Các triệu chứng khác như rối loạn tâm thần (trầm cảm, khó chịu, suy giảm nhận thức), viêm lưỡi (lưỡi sưng và viêm ), loét miệng, rối loạn thị giác và vận động. Để tránh những triệu chứng mạn tính, cần chẩn đoán và điều trị những bệnh nhân bị thiếu máu hoặc mắc các bệnh lý thần kinh do thiếu vitamin B12 càng sớm càng tốt. </w:t>
      </w:r>
    </w:p>
    <w:p w:rsidR="00EB3469" w:rsidRPr="00D91678" w:rsidRDefault="00EB3469" w:rsidP="00D91678">
      <w:pPr>
        <w:pStyle w:val="NormalWeb"/>
        <w:spacing w:before="120" w:beforeAutospacing="0" w:after="120" w:afterAutospacing="0" w:line="360" w:lineRule="auto"/>
        <w:jc w:val="both"/>
      </w:pPr>
      <w:r w:rsidRPr="00D91678">
        <w:t>Thiếu hụt vitamin B12 là một tác dụng phụ đã biết khi sử dụng metformin dài ngày. Có nhiều cơ chế khác nhau, bao gồm thay đổi nhu động ruột, sự phát triển quá mức của vi khuẩn và giảm hấp thu vitamin B12 ở ruột non. </w:t>
      </w:r>
    </w:p>
    <w:p w:rsidR="00EB3469" w:rsidRPr="00D91678" w:rsidRDefault="00EB3469" w:rsidP="00D91678">
      <w:pPr>
        <w:pStyle w:val="NormalWeb"/>
        <w:spacing w:before="120" w:beforeAutospacing="0" w:after="120" w:afterAutospacing="0" w:line="360" w:lineRule="auto"/>
        <w:jc w:val="both"/>
      </w:pPr>
      <w:r w:rsidRPr="00D91678">
        <w:rPr>
          <w:rStyle w:val="Strong"/>
        </w:rPr>
        <w:t>Cập nhật thông tin thuốc</w:t>
      </w:r>
    </w:p>
    <w:p w:rsidR="00EB3469" w:rsidRPr="00D91678" w:rsidRDefault="00EB3469" w:rsidP="00D91678">
      <w:pPr>
        <w:pStyle w:val="NormalWeb"/>
        <w:spacing w:before="120" w:beforeAutospacing="0" w:after="120" w:afterAutospacing="0" w:line="360" w:lineRule="auto"/>
        <w:jc w:val="both"/>
      </w:pPr>
      <w:r w:rsidRPr="00D91678">
        <w:t>Gần đây, tác dụng phụ thiếu hụt vitamin B12 đã được MHRA đánh giá lại đối với Glucophage (metformin). Kết quả đánh giá cho thấy thông tin về tác dụng phụ của các thuốc có metformin cần được cập nhật. </w:t>
      </w:r>
    </w:p>
    <w:p w:rsidR="00EB3469" w:rsidRPr="00D91678" w:rsidRDefault="00EB3469" w:rsidP="00D91678">
      <w:pPr>
        <w:pStyle w:val="NormalWeb"/>
        <w:spacing w:before="120" w:beforeAutospacing="0" w:after="120" w:afterAutospacing="0" w:line="360" w:lineRule="auto"/>
        <w:jc w:val="both"/>
      </w:pPr>
      <w:r w:rsidRPr="00D91678">
        <w:t>Y văn hiện hành cho thấy tần suất xảy ra tác dụng phụ trên của metformin cao hơn so với trước đây. Tờ thông tin sản phẩm của Glucophage đã cập nhật thiếu hụt vitamin B12 là một phản ứng có hại của thuốc thường gặp và có thể ảnh hưởng đến 1/10 người dùng thuốc. </w:t>
      </w:r>
    </w:p>
    <w:p w:rsidR="00EB3469" w:rsidRPr="00D91678" w:rsidRDefault="00EB3469" w:rsidP="00D91678">
      <w:pPr>
        <w:pStyle w:val="NormalWeb"/>
        <w:spacing w:before="120" w:beforeAutospacing="0" w:after="120" w:afterAutospacing="0" w:line="360" w:lineRule="auto"/>
        <w:jc w:val="both"/>
      </w:pPr>
      <w:r w:rsidRPr="00D91678">
        <w:t> </w:t>
      </w:r>
    </w:p>
    <w:p w:rsidR="00EB3469" w:rsidRPr="00D91678" w:rsidRDefault="00EB3469" w:rsidP="00D91678">
      <w:pPr>
        <w:pStyle w:val="NormalWeb"/>
        <w:spacing w:before="120" w:beforeAutospacing="0" w:after="120" w:afterAutospacing="0" w:line="360" w:lineRule="auto"/>
        <w:jc w:val="both"/>
      </w:pPr>
      <w:r w:rsidRPr="00D91678">
        <w:lastRenderedPageBreak/>
        <w:t>Tờ thông tin sản phẩm cũng đã được cập nhật để lưu ý nguy cơ xảy ra tác dụng phụnày tăng lên khi tăng liều metformin, kéo dài thời gian điều trị và ở những bệnh nhân có yếu tố nguy cơ thiếu hụt vitamin B12. </w:t>
      </w:r>
    </w:p>
    <w:p w:rsidR="00EB3469" w:rsidRPr="00D91678" w:rsidRDefault="00EB3469" w:rsidP="00D91678">
      <w:pPr>
        <w:pStyle w:val="NormalWeb"/>
        <w:spacing w:before="120" w:beforeAutospacing="0" w:after="120" w:afterAutospacing="0" w:line="360" w:lineRule="auto"/>
        <w:jc w:val="both"/>
      </w:pPr>
      <w:r w:rsidRPr="00D91678">
        <w:t>Tờ thông tin sản phẩm đã cập nhật bao gồm khuyến cáo mới cho nhân viên y tế, gồm xét nghiệm nồng độ vitamin B12 ở những bệnh nhân có triệu chứng thiếu máu hoặc mắc các bệnh lý thần kinh,vàxem xét theo dõi định kỳ nồng độ vitamin B12 ở những bệnh nhân có các yếu tố nguy cơ thiếu vitamin B12. Thông tin sản phẩm cho các thuốc khác có metformin sẽ được cập nhật, bao gồm các chế</w:t>
      </w:r>
      <w:r w:rsidRPr="00D91678">
        <w:t xml:space="preserve"> </w:t>
      </w:r>
      <w:r w:rsidRPr="00D91678">
        <w:t>phẩm kết hợp có chứa metformin liều cố định. </w:t>
      </w:r>
    </w:p>
    <w:p w:rsidR="00EB3469" w:rsidRPr="00D91678" w:rsidRDefault="00EB3469" w:rsidP="00D91678">
      <w:pPr>
        <w:pStyle w:val="NormalWeb"/>
        <w:spacing w:before="120" w:beforeAutospacing="0" w:after="120" w:afterAutospacing="0" w:line="360" w:lineRule="auto"/>
        <w:jc w:val="both"/>
      </w:pPr>
      <w:r w:rsidRPr="00D91678">
        <w:rPr>
          <w:rStyle w:val="Strong"/>
        </w:rPr>
        <w:t>Các yếu tố nguy cơ thiếu</w:t>
      </w:r>
      <w:r w:rsidR="00F604D8" w:rsidRPr="00D91678">
        <w:rPr>
          <w:rStyle w:val="Strong"/>
        </w:rPr>
        <w:t xml:space="preserve"> </w:t>
      </w:r>
      <w:r w:rsidRPr="00D91678">
        <w:rPr>
          <w:rStyle w:val="Strong"/>
        </w:rPr>
        <w:t>hụt</w:t>
      </w:r>
      <w:r w:rsidR="00F604D8" w:rsidRPr="00D91678">
        <w:rPr>
          <w:rStyle w:val="Strong"/>
        </w:rPr>
        <w:t xml:space="preserve"> </w:t>
      </w:r>
      <w:r w:rsidRPr="00D91678">
        <w:rPr>
          <w:rStyle w:val="Strong"/>
        </w:rPr>
        <w:t>vitamin B12</w:t>
      </w:r>
    </w:p>
    <w:p w:rsidR="00EB3469" w:rsidRPr="00D91678" w:rsidRDefault="00EB3469" w:rsidP="00D91678">
      <w:pPr>
        <w:pStyle w:val="NormalWeb"/>
        <w:spacing w:before="120" w:beforeAutospacing="0" w:after="120" w:afterAutospacing="0" w:line="360" w:lineRule="auto"/>
        <w:jc w:val="both"/>
      </w:pPr>
      <w:r w:rsidRPr="00D91678">
        <w:t>Các yếu tố nguy cơ thiếu hụt vitamin B12 rất đa dạng, bao gồm:</w:t>
      </w:r>
    </w:p>
    <w:p w:rsidR="00EB3469" w:rsidRPr="00D91678" w:rsidRDefault="00EB3469" w:rsidP="00D91678">
      <w:pPr>
        <w:pStyle w:val="NormalWeb"/>
        <w:spacing w:before="120" w:beforeAutospacing="0" w:after="120" w:afterAutospacing="0" w:line="360" w:lineRule="auto"/>
        <w:jc w:val="both"/>
      </w:pPr>
      <w:r w:rsidRPr="00D91678">
        <w:t>- Nồng độ vitamin B12 ban đầu thấp hơn giới hạn dưới ngưỡngbình thường</w:t>
      </w:r>
    </w:p>
    <w:p w:rsidR="00EB3469" w:rsidRPr="00D91678" w:rsidRDefault="00EB3469" w:rsidP="00D91678">
      <w:pPr>
        <w:pStyle w:val="NormalWeb"/>
        <w:spacing w:before="120" w:beforeAutospacing="0" w:after="120" w:afterAutospacing="0" w:line="360" w:lineRule="auto"/>
        <w:jc w:val="both"/>
      </w:pPr>
      <w:r w:rsidRPr="00D91678">
        <w:t>- Các tình trạng liên quan đến giảm hấp thu vitamin B12 (người cao tuổi; mắc các bệnh lý đường tiêu hóa như cắt bỏ một phần/toàn bộ dạ dày, bệnh Crohn và các rối loạn viêm ruột khác; hoặc các tình trạng tự miễn)</w:t>
      </w:r>
    </w:p>
    <w:p w:rsidR="00EB3469" w:rsidRPr="00D91678" w:rsidRDefault="00EB3469" w:rsidP="00D91678">
      <w:pPr>
        <w:pStyle w:val="NormalWeb"/>
        <w:spacing w:before="120" w:beforeAutospacing="0" w:after="120" w:afterAutospacing="0" w:line="360" w:lineRule="auto"/>
        <w:jc w:val="both"/>
      </w:pPr>
      <w:r w:rsidRPr="00D91678">
        <w:t>- Chế độ ăn kiêng</w:t>
      </w:r>
      <w:r w:rsidRPr="00D91678">
        <w:t xml:space="preserve"> </w:t>
      </w:r>
      <w:r w:rsidRPr="00D91678">
        <w:t>có ítvitamin B12 (chế độ ăn thuần chay nghiêm ngặt và một số chế độ ăn chay)</w:t>
      </w:r>
    </w:p>
    <w:p w:rsidR="00EB3469" w:rsidRPr="00D91678" w:rsidRDefault="00EB3469" w:rsidP="00D91678">
      <w:pPr>
        <w:pStyle w:val="NormalWeb"/>
        <w:spacing w:before="120" w:beforeAutospacing="0" w:after="120" w:afterAutospacing="0" w:line="360" w:lineRule="auto"/>
        <w:jc w:val="both"/>
      </w:pPr>
      <w:r w:rsidRPr="00D91678">
        <w:t>- Sử dụng đồng thời với các thuốc có khả năng giảm hấp thu vitamin B12 (thuốc ức chế bơm proton hoặc colchicin)</w:t>
      </w:r>
    </w:p>
    <w:p w:rsidR="00EB3469" w:rsidRPr="00D91678" w:rsidRDefault="00EB3469" w:rsidP="00D91678">
      <w:pPr>
        <w:pStyle w:val="NormalWeb"/>
        <w:spacing w:before="120" w:beforeAutospacing="0" w:after="120" w:afterAutospacing="0" w:line="360" w:lineRule="auto"/>
        <w:jc w:val="both"/>
      </w:pPr>
      <w:r w:rsidRPr="00D91678">
        <w:t>- Thiếu hụt vitamin B12 di truyền, chẳng hạn như thiếu hụt yếu tố nội tại dạ dày (hội chứng Imerslund-Gräsbeck) và thiếu hụt transcobalamin II. </w:t>
      </w:r>
    </w:p>
    <w:p w:rsidR="00EB3469" w:rsidRPr="00D91678" w:rsidRDefault="00EB3469" w:rsidP="00D91678">
      <w:pPr>
        <w:pStyle w:val="NormalWeb"/>
        <w:spacing w:before="120" w:beforeAutospacing="0" w:after="120" w:afterAutospacing="0" w:line="360" w:lineRule="auto"/>
        <w:jc w:val="right"/>
        <w:rPr>
          <w:i/>
        </w:rPr>
      </w:pPr>
      <w:r w:rsidRPr="00D91678">
        <w:rPr>
          <w:i/>
        </w:rPr>
        <w:t>Nguồn: </w:t>
      </w:r>
      <w:hyperlink r:id="rId6" w:history="1">
        <w:r w:rsidRPr="00D91678">
          <w:rPr>
            <w:rStyle w:val="Hyperlink"/>
            <w:i/>
            <w:color w:val="auto"/>
            <w:bdr w:val="none" w:sz="0" w:space="0" w:color="auto" w:frame="1"/>
          </w:rPr>
          <w:t>https://www.gov.uk/drug-safety-update/metformin-and-reduced-vitamin-b12-levels-new-advice-for-monitoring-patients-</w:t>
        </w:r>
      </w:hyperlink>
    </w:p>
    <w:p w:rsidR="00263566" w:rsidRPr="00D91678" w:rsidRDefault="00263566" w:rsidP="00D91678">
      <w:pPr>
        <w:spacing w:before="120" w:after="120" w:line="360" w:lineRule="auto"/>
        <w:rPr>
          <w:rFonts w:eastAsia="Times New Roman"/>
          <w:b/>
          <w:bCs/>
          <w:color w:val="auto"/>
          <w:kern w:val="0"/>
          <w:sz w:val="24"/>
          <w:szCs w:val="24"/>
        </w:rPr>
      </w:pPr>
    </w:p>
    <w:p w:rsidR="00F604D8" w:rsidRDefault="00F604D8" w:rsidP="00D91678">
      <w:pPr>
        <w:spacing w:before="120" w:after="120" w:line="360" w:lineRule="auto"/>
        <w:rPr>
          <w:rFonts w:eastAsia="Times New Roman"/>
          <w:b/>
          <w:bCs/>
          <w:color w:val="auto"/>
          <w:kern w:val="0"/>
          <w:sz w:val="24"/>
          <w:szCs w:val="24"/>
        </w:rPr>
      </w:pPr>
    </w:p>
    <w:p w:rsidR="00EC2E94" w:rsidRDefault="00EC2E94" w:rsidP="00D91678">
      <w:pPr>
        <w:spacing w:before="120" w:after="120" w:line="360" w:lineRule="auto"/>
        <w:rPr>
          <w:rFonts w:eastAsia="Times New Roman"/>
          <w:b/>
          <w:bCs/>
          <w:color w:val="auto"/>
          <w:kern w:val="0"/>
          <w:sz w:val="24"/>
          <w:szCs w:val="24"/>
        </w:rPr>
      </w:pPr>
    </w:p>
    <w:p w:rsidR="00EC2E94" w:rsidRPr="00D91678" w:rsidRDefault="00EC2E94" w:rsidP="00D91678">
      <w:pPr>
        <w:spacing w:before="120" w:after="120" w:line="360" w:lineRule="auto"/>
        <w:rPr>
          <w:rFonts w:eastAsia="Times New Roman"/>
          <w:b/>
          <w:bCs/>
          <w:color w:val="auto"/>
          <w:kern w:val="0"/>
          <w:sz w:val="24"/>
          <w:szCs w:val="24"/>
        </w:rPr>
      </w:pPr>
    </w:p>
    <w:p w:rsidR="00EC2E94" w:rsidRPr="00263566" w:rsidRDefault="00263566" w:rsidP="00D91678">
      <w:pPr>
        <w:spacing w:before="120" w:after="120" w:line="360" w:lineRule="auto"/>
        <w:rPr>
          <w:rFonts w:eastAsia="Times New Roman"/>
          <w:b/>
          <w:bCs/>
          <w:color w:val="auto"/>
          <w:kern w:val="0"/>
          <w:sz w:val="28"/>
          <w:szCs w:val="28"/>
        </w:rPr>
      </w:pPr>
      <w:r w:rsidRPr="00263566">
        <w:rPr>
          <w:rFonts w:eastAsia="Times New Roman"/>
          <w:b/>
          <w:bCs/>
          <w:color w:val="auto"/>
          <w:kern w:val="0"/>
          <w:sz w:val="28"/>
          <w:szCs w:val="28"/>
        </w:rPr>
        <w:lastRenderedPageBreak/>
        <w:t>Cục Quản lý Dược: Thu hồi toàn quốc lô thuốc Siro Nutrohadi F do vi phạm mức độ 2</w:t>
      </w:r>
    </w:p>
    <w:p w:rsidR="00263566" w:rsidRPr="00263566" w:rsidRDefault="00263566" w:rsidP="00D91678">
      <w:pPr>
        <w:spacing w:before="120" w:after="120" w:line="360" w:lineRule="auto"/>
        <w:jc w:val="both"/>
        <w:rPr>
          <w:rFonts w:eastAsia="Times New Roman"/>
          <w:color w:val="auto"/>
          <w:kern w:val="0"/>
          <w:sz w:val="24"/>
          <w:szCs w:val="24"/>
        </w:rPr>
      </w:pPr>
      <w:r w:rsidRPr="00263566">
        <w:rPr>
          <w:rFonts w:eastAsia="Times New Roman"/>
          <w:color w:val="auto"/>
          <w:kern w:val="0"/>
          <w:sz w:val="24"/>
          <w:szCs w:val="24"/>
        </w:rPr>
        <w:t>Cục Quản lý Dược vừa có công văn số 6125/QLD-CL ngày 13/07/2022 về việc thu hồi toàn quốc Siro uống Siro Nutrohadi F, Số GĐKLH: VD-18684- 13, Số lô: 030221; NSX: 240221; HD: 230224 do Công ty Cổ phần Dược Hà Tĩnh sản xuất.</w:t>
      </w:r>
    </w:p>
    <w:p w:rsidR="00263566" w:rsidRPr="00D91678" w:rsidRDefault="00263566" w:rsidP="00D91678">
      <w:pPr>
        <w:spacing w:before="120" w:after="120" w:line="360" w:lineRule="auto"/>
        <w:jc w:val="both"/>
        <w:rPr>
          <w:rFonts w:eastAsia="Times New Roman"/>
          <w:color w:val="auto"/>
          <w:kern w:val="0"/>
          <w:sz w:val="24"/>
          <w:szCs w:val="24"/>
        </w:rPr>
      </w:pPr>
      <w:r w:rsidRPr="00263566">
        <w:rPr>
          <w:rFonts w:eastAsia="Times New Roman"/>
          <w:color w:val="auto"/>
          <w:kern w:val="0"/>
          <w:sz w:val="24"/>
          <w:szCs w:val="24"/>
        </w:rPr>
        <w:t>Lý do thu hồi: Lô thuốc không đạt tiêu chuẩn chất lượng về chỉ tiêu Định lượng Riboflavin, Thiamin Hydrochlorid, Tocopherol acetat.</w:t>
      </w:r>
    </w:p>
    <w:p w:rsidR="00C5024E" w:rsidRDefault="00D91678" w:rsidP="00C5024E">
      <w:pPr>
        <w:spacing w:before="120" w:after="120" w:line="360" w:lineRule="auto"/>
        <w:jc w:val="right"/>
        <w:rPr>
          <w:rFonts w:eastAsia="Times New Roman"/>
          <w:i/>
          <w:color w:val="auto"/>
          <w:kern w:val="0"/>
          <w:sz w:val="24"/>
          <w:szCs w:val="24"/>
        </w:rPr>
      </w:pPr>
      <w:r>
        <w:rPr>
          <w:rFonts w:eastAsia="Times New Roman"/>
          <w:i/>
          <w:color w:val="auto"/>
          <w:kern w:val="0"/>
          <w:sz w:val="24"/>
          <w:szCs w:val="24"/>
        </w:rPr>
        <w:t>(</w:t>
      </w:r>
      <w:r w:rsidR="00263566" w:rsidRPr="00D91678">
        <w:rPr>
          <w:rFonts w:eastAsia="Times New Roman"/>
          <w:i/>
          <w:color w:val="auto"/>
          <w:kern w:val="0"/>
          <w:sz w:val="24"/>
          <w:szCs w:val="24"/>
        </w:rPr>
        <w:t>Công văn thu hồi số 6125/QLD_CL, ngày 13 tháng 7 năm 2022</w:t>
      </w:r>
      <w:r>
        <w:rPr>
          <w:rFonts w:eastAsia="Times New Roman"/>
          <w:i/>
          <w:color w:val="auto"/>
          <w:kern w:val="0"/>
          <w:sz w:val="24"/>
          <w:szCs w:val="24"/>
        </w:rPr>
        <w:t>)</w:t>
      </w:r>
    </w:p>
    <w:p w:rsidR="00263566" w:rsidRPr="00263566" w:rsidRDefault="00D91678" w:rsidP="00C5024E">
      <w:pPr>
        <w:spacing w:before="120" w:after="120" w:line="360" w:lineRule="auto"/>
        <w:jc w:val="right"/>
        <w:rPr>
          <w:rFonts w:eastAsia="Times New Roman"/>
          <w:i/>
          <w:color w:val="auto"/>
          <w:kern w:val="0"/>
          <w:sz w:val="24"/>
          <w:szCs w:val="24"/>
        </w:rPr>
      </w:pPr>
      <w:r>
        <w:rPr>
          <w:rFonts w:eastAsia="Times New Roman"/>
          <w:i/>
          <w:color w:val="auto"/>
          <w:kern w:val="0"/>
          <w:sz w:val="24"/>
          <w:szCs w:val="24"/>
        </w:rPr>
        <w:t>đính kèm</w:t>
      </w:r>
      <w:hyperlink r:id="rId7" w:history="1">
        <w:r w:rsidR="00263566" w:rsidRPr="00D91678">
          <w:rPr>
            <w:rStyle w:val="Hyperlink"/>
            <w:rFonts w:eastAsia="Times New Roman"/>
            <w:i/>
            <w:color w:val="auto"/>
            <w:kern w:val="0"/>
            <w:sz w:val="24"/>
            <w:szCs w:val="24"/>
          </w:rPr>
          <w:t>..\6125_QLD_CL_13.7.22.pdf</w:t>
        </w:r>
      </w:hyperlink>
    </w:p>
    <w:p w:rsidR="00403AE6" w:rsidRPr="00D91678" w:rsidRDefault="00403AE6" w:rsidP="00D91678">
      <w:pPr>
        <w:spacing w:before="120" w:after="120" w:line="360" w:lineRule="auto"/>
        <w:rPr>
          <w:rFonts w:eastAsia="Times New Roman"/>
          <w:b/>
          <w:bCs/>
          <w:color w:val="auto"/>
          <w:kern w:val="0"/>
          <w:sz w:val="24"/>
          <w:szCs w:val="24"/>
        </w:rPr>
      </w:pPr>
    </w:p>
    <w:p w:rsidR="00F604D8" w:rsidRPr="00D91678" w:rsidRDefault="00403AE6" w:rsidP="007C184F">
      <w:pPr>
        <w:spacing w:before="120" w:after="120" w:line="360" w:lineRule="auto"/>
        <w:jc w:val="both"/>
        <w:rPr>
          <w:rFonts w:eastAsia="Times New Roman"/>
          <w:b/>
          <w:bCs/>
          <w:color w:val="auto"/>
          <w:kern w:val="0"/>
          <w:sz w:val="28"/>
          <w:szCs w:val="28"/>
        </w:rPr>
      </w:pPr>
      <w:r w:rsidRPr="00403AE6">
        <w:rPr>
          <w:rFonts w:eastAsia="Times New Roman"/>
          <w:b/>
          <w:bCs/>
          <w:color w:val="auto"/>
          <w:kern w:val="0"/>
          <w:sz w:val="28"/>
          <w:szCs w:val="28"/>
        </w:rPr>
        <w:t>Cục Quản lý Dược: Thông báo về thuốc giả Tetracyclin</w:t>
      </w:r>
    </w:p>
    <w:p w:rsidR="00403AE6" w:rsidRPr="00403AE6" w:rsidRDefault="00403AE6" w:rsidP="00D91678">
      <w:pPr>
        <w:spacing w:before="120" w:after="120" w:line="360" w:lineRule="auto"/>
        <w:jc w:val="both"/>
        <w:rPr>
          <w:rFonts w:eastAsia="Times New Roman"/>
          <w:color w:val="auto"/>
          <w:kern w:val="0"/>
          <w:sz w:val="24"/>
          <w:szCs w:val="24"/>
        </w:rPr>
      </w:pPr>
      <w:r w:rsidRPr="00403AE6">
        <w:rPr>
          <w:rFonts w:eastAsia="Times New Roman"/>
          <w:color w:val="auto"/>
          <w:kern w:val="0"/>
          <w:sz w:val="24"/>
          <w:szCs w:val="24"/>
        </w:rPr>
        <w:t>Cục Quản lý Dược vừa có công văn số 5710/QLD-CL ngày 01/07/2022 về thuốc giả Tetracyclin. Theo đó, Cục Quản lý Dược thông báo cho các cơ sở kinh doanh, sử dụng thuốc thông tin về thuốc giả trên nhãn ghi Viên nén TETRACYCLIN 250mg, SĐK: VD-30127-18, lô SX: 092019, NSX: 180919, HD: 180923; Công ty TNHH MTV 120 Armepharco có các đặc điểm, dấu hiệu phân biệt với thuốc thật như sau:</w:t>
      </w:r>
    </w:p>
    <w:p w:rsidR="00403AE6" w:rsidRPr="00403AE6" w:rsidRDefault="00403AE6" w:rsidP="00D91678">
      <w:pPr>
        <w:spacing w:before="120" w:after="120" w:line="360" w:lineRule="auto"/>
        <w:rPr>
          <w:rFonts w:eastAsia="Times New Roman"/>
          <w:color w:val="auto"/>
          <w:kern w:val="0"/>
          <w:sz w:val="24"/>
          <w:szCs w:val="24"/>
        </w:rPr>
      </w:pPr>
      <w:r w:rsidRPr="00403AE6">
        <w:rPr>
          <w:rFonts w:eastAsia="Times New Roman"/>
          <w:color w:val="auto"/>
          <w:kern w:val="0"/>
          <w:sz w:val="24"/>
          <w:szCs w:val="24"/>
        </w:rPr>
        <w:t> </w:t>
      </w:r>
    </w:p>
    <w:p w:rsidR="00403AE6" w:rsidRPr="00403AE6" w:rsidRDefault="00403AE6" w:rsidP="00D91678">
      <w:pPr>
        <w:spacing w:before="120" w:after="120" w:line="360" w:lineRule="auto"/>
        <w:jc w:val="center"/>
        <w:rPr>
          <w:rFonts w:eastAsia="Times New Roman"/>
          <w:color w:val="auto"/>
          <w:kern w:val="0"/>
          <w:sz w:val="24"/>
          <w:szCs w:val="24"/>
        </w:rPr>
      </w:pPr>
      <w:r w:rsidRPr="00D91678">
        <w:rPr>
          <w:rFonts w:eastAsia="Times New Roman"/>
          <w:noProof/>
          <w:color w:val="auto"/>
          <w:kern w:val="0"/>
          <w:sz w:val="24"/>
          <w:szCs w:val="24"/>
        </w:rPr>
        <w:drawing>
          <wp:inline distT="0" distB="0" distL="0" distR="0" wp14:anchorId="360275D4" wp14:editId="176F0C60">
            <wp:extent cx="4838700" cy="1781175"/>
            <wp:effectExtent l="0" t="0" r="0" b="9525"/>
            <wp:docPr id="3" name="Picture 3" descr="http://canhgiacduoc.org.vn/SiteData/3/UserFiles/images/CV57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nhgiacduoc.org.vn/SiteData/3/UserFiles/images/CV5710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1781175"/>
                    </a:xfrm>
                    <a:prstGeom prst="rect">
                      <a:avLst/>
                    </a:prstGeom>
                    <a:noFill/>
                    <a:ln>
                      <a:noFill/>
                    </a:ln>
                  </pic:spPr>
                </pic:pic>
              </a:graphicData>
            </a:graphic>
          </wp:inline>
        </w:drawing>
      </w:r>
    </w:p>
    <w:p w:rsidR="00403AE6" w:rsidRPr="00403AE6" w:rsidRDefault="00403AE6" w:rsidP="00D91678">
      <w:pPr>
        <w:spacing w:before="120" w:after="120" w:line="360" w:lineRule="auto"/>
        <w:jc w:val="center"/>
        <w:rPr>
          <w:rFonts w:eastAsia="Times New Roman"/>
          <w:color w:val="auto"/>
          <w:kern w:val="0"/>
          <w:sz w:val="24"/>
          <w:szCs w:val="24"/>
        </w:rPr>
      </w:pPr>
      <w:r w:rsidRPr="00D91678">
        <w:rPr>
          <w:rFonts w:eastAsia="Times New Roman"/>
          <w:noProof/>
          <w:color w:val="auto"/>
          <w:kern w:val="0"/>
          <w:sz w:val="24"/>
          <w:szCs w:val="24"/>
        </w:rPr>
        <w:lastRenderedPageBreak/>
        <w:drawing>
          <wp:inline distT="0" distB="0" distL="0" distR="0" wp14:anchorId="1A3A87DC" wp14:editId="527AB340">
            <wp:extent cx="4819650" cy="2409825"/>
            <wp:effectExtent l="0" t="0" r="0" b="9525"/>
            <wp:docPr id="2" name="Picture 2" descr="http://canhgiacduoc.org.vn/SiteData/3/UserFiles/images/CV5710_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nhgiacduoc.org.vn/SiteData/3/UserFiles/images/CV5710_1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2409825"/>
                    </a:xfrm>
                    <a:prstGeom prst="rect">
                      <a:avLst/>
                    </a:prstGeom>
                    <a:noFill/>
                    <a:ln>
                      <a:noFill/>
                    </a:ln>
                  </pic:spPr>
                </pic:pic>
              </a:graphicData>
            </a:graphic>
          </wp:inline>
        </w:drawing>
      </w:r>
    </w:p>
    <w:p w:rsidR="00403AE6" w:rsidRPr="00403AE6" w:rsidRDefault="00403AE6" w:rsidP="00D91678">
      <w:pPr>
        <w:spacing w:before="120" w:after="120" w:line="360" w:lineRule="auto"/>
        <w:jc w:val="center"/>
        <w:rPr>
          <w:rFonts w:eastAsia="Times New Roman"/>
          <w:color w:val="auto"/>
          <w:kern w:val="0"/>
          <w:sz w:val="24"/>
          <w:szCs w:val="24"/>
        </w:rPr>
      </w:pPr>
      <w:r w:rsidRPr="00D91678">
        <w:rPr>
          <w:rFonts w:eastAsia="Times New Roman"/>
          <w:noProof/>
          <w:color w:val="auto"/>
          <w:kern w:val="0"/>
          <w:sz w:val="24"/>
          <w:szCs w:val="24"/>
        </w:rPr>
        <w:drawing>
          <wp:inline distT="0" distB="0" distL="0" distR="0" wp14:anchorId="483B7E28" wp14:editId="2D63B18E">
            <wp:extent cx="4810125" cy="2686050"/>
            <wp:effectExtent l="0" t="0" r="9525" b="0"/>
            <wp:docPr id="1" name="Picture 1" descr="http://canhgiacduoc.org.vn/SiteData/3/UserFiles/images/CV5710_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nhgiacduoc.org.vn/SiteData/3/UserFiles/images/CV5710_1_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2686050"/>
                    </a:xfrm>
                    <a:prstGeom prst="rect">
                      <a:avLst/>
                    </a:prstGeom>
                    <a:noFill/>
                    <a:ln>
                      <a:noFill/>
                    </a:ln>
                  </pic:spPr>
                </pic:pic>
              </a:graphicData>
            </a:graphic>
          </wp:inline>
        </w:drawing>
      </w:r>
    </w:p>
    <w:p w:rsidR="00403AE6" w:rsidRPr="00403AE6" w:rsidRDefault="00403AE6" w:rsidP="00EC2E94">
      <w:pPr>
        <w:spacing w:before="120" w:after="120" w:line="360" w:lineRule="auto"/>
        <w:jc w:val="center"/>
        <w:rPr>
          <w:rFonts w:eastAsia="Times New Roman"/>
          <w:color w:val="auto"/>
          <w:kern w:val="0"/>
          <w:sz w:val="24"/>
          <w:szCs w:val="24"/>
        </w:rPr>
      </w:pPr>
      <w:r w:rsidRPr="00403AE6">
        <w:rPr>
          <w:rFonts w:eastAsia="Times New Roman"/>
          <w:color w:val="auto"/>
          <w:kern w:val="0"/>
          <w:sz w:val="24"/>
          <w:szCs w:val="24"/>
        </w:rPr>
        <w:t>Hình ảnh: Phân biệt thuốc thật và thuốc giả tetracyclin</w:t>
      </w:r>
    </w:p>
    <w:p w:rsidR="00403AE6" w:rsidRPr="00D91678" w:rsidRDefault="00403AE6" w:rsidP="00D91678">
      <w:pPr>
        <w:spacing w:before="120" w:after="120" w:line="360" w:lineRule="auto"/>
        <w:jc w:val="both"/>
        <w:rPr>
          <w:rFonts w:eastAsia="Times New Roman"/>
          <w:color w:val="auto"/>
          <w:kern w:val="0"/>
          <w:sz w:val="24"/>
          <w:szCs w:val="24"/>
        </w:rPr>
      </w:pPr>
      <w:r w:rsidRPr="00D91678">
        <w:rPr>
          <w:rFonts w:eastAsia="Times New Roman"/>
          <w:color w:val="auto"/>
          <w:kern w:val="0"/>
          <w:sz w:val="24"/>
          <w:szCs w:val="24"/>
        </w:rPr>
        <w:t>Cục Quản lý Dược đề nghị Sở Y tế các tỉnh, thành phố trực thuộc Trung ương, Y tế các ngành p</w:t>
      </w:r>
      <w:r w:rsidRPr="00403AE6">
        <w:rPr>
          <w:rFonts w:eastAsia="Times New Roman"/>
          <w:color w:val="auto"/>
          <w:kern w:val="0"/>
          <w:sz w:val="24"/>
          <w:szCs w:val="24"/>
        </w:rPr>
        <w:t>hối hợp với các cơ quan chức năng liên quan tiến hành kiểm tra các cơ sở kinh doanh thuốc trên địa bàn; xác minh thông tin và truy tìm nguồn gốc về sản phẩm Viên nén TETRACYCLIN 250mg giả nêu trên, xử lý các tổ chức, cá nhân vi phạm theo quy định hiện hành; kịp thời phát hiện và ngăn chặn việc sản xuất, buôn bán và sử dụng thuốc Viên nén TETRACYCLIN 250mg giả.</w:t>
      </w:r>
    </w:p>
    <w:p w:rsidR="003A14E1" w:rsidRDefault="003A14E1" w:rsidP="003A14E1">
      <w:pPr>
        <w:spacing w:before="120" w:after="120" w:line="360" w:lineRule="auto"/>
        <w:jc w:val="right"/>
        <w:rPr>
          <w:rFonts w:eastAsia="Times New Roman"/>
          <w:color w:val="auto"/>
          <w:kern w:val="0"/>
          <w:sz w:val="24"/>
          <w:szCs w:val="24"/>
        </w:rPr>
      </w:pPr>
      <w:r>
        <w:rPr>
          <w:rFonts w:eastAsia="Times New Roman"/>
          <w:color w:val="auto"/>
          <w:kern w:val="0"/>
          <w:sz w:val="24"/>
          <w:szCs w:val="24"/>
        </w:rPr>
        <w:t>(</w:t>
      </w:r>
      <w:r w:rsidR="00403AE6" w:rsidRPr="00D91678">
        <w:rPr>
          <w:rFonts w:eastAsia="Times New Roman"/>
          <w:color w:val="auto"/>
          <w:kern w:val="0"/>
          <w:sz w:val="24"/>
          <w:szCs w:val="24"/>
        </w:rPr>
        <w:t>Công văn thu hồi số 5710/QLD_CL, ngày 01</w:t>
      </w:r>
      <w:r w:rsidR="00403AE6" w:rsidRPr="00D91678">
        <w:rPr>
          <w:rFonts w:eastAsia="Times New Roman"/>
          <w:color w:val="auto"/>
          <w:kern w:val="0"/>
          <w:sz w:val="24"/>
          <w:szCs w:val="24"/>
        </w:rPr>
        <w:t xml:space="preserve"> tháng 7 năm 2022</w:t>
      </w:r>
      <w:r>
        <w:rPr>
          <w:rFonts w:eastAsia="Times New Roman"/>
          <w:color w:val="auto"/>
          <w:kern w:val="0"/>
          <w:sz w:val="24"/>
          <w:szCs w:val="24"/>
        </w:rPr>
        <w:t>)</w:t>
      </w:r>
    </w:p>
    <w:p w:rsidR="00403AE6" w:rsidRPr="00403AE6" w:rsidRDefault="003A14E1" w:rsidP="003A14E1">
      <w:pPr>
        <w:spacing w:before="120" w:after="120" w:line="360" w:lineRule="auto"/>
        <w:jc w:val="right"/>
        <w:rPr>
          <w:rFonts w:eastAsia="Times New Roman"/>
          <w:color w:val="auto"/>
          <w:kern w:val="0"/>
          <w:sz w:val="24"/>
          <w:szCs w:val="24"/>
        </w:rPr>
      </w:pPr>
      <w:r>
        <w:rPr>
          <w:rFonts w:eastAsia="Times New Roman"/>
          <w:color w:val="auto"/>
          <w:kern w:val="0"/>
          <w:sz w:val="24"/>
          <w:szCs w:val="24"/>
        </w:rPr>
        <w:t xml:space="preserve"> </w:t>
      </w:r>
      <w:r w:rsidR="00403AE6" w:rsidRPr="00D91678">
        <w:rPr>
          <w:rFonts w:eastAsia="Times New Roman"/>
          <w:color w:val="auto"/>
          <w:kern w:val="0"/>
          <w:sz w:val="24"/>
          <w:szCs w:val="24"/>
        </w:rPr>
        <w:t>đình kèm</w:t>
      </w:r>
      <w:hyperlink r:id="rId11" w:history="1">
        <w:r w:rsidR="00403AE6" w:rsidRPr="00D91678">
          <w:rPr>
            <w:rStyle w:val="Hyperlink"/>
            <w:rFonts w:eastAsia="Times New Roman"/>
            <w:color w:val="auto"/>
            <w:kern w:val="0"/>
            <w:sz w:val="24"/>
            <w:szCs w:val="24"/>
          </w:rPr>
          <w:t>..\5710_QLD_CL_01.7.22.pdf</w:t>
        </w:r>
      </w:hyperlink>
    </w:p>
    <w:p w:rsidR="00EB3469" w:rsidRPr="00D91678" w:rsidRDefault="00EB3469" w:rsidP="00D91678">
      <w:pPr>
        <w:spacing w:before="120" w:after="120" w:line="360" w:lineRule="auto"/>
        <w:jc w:val="center"/>
        <w:rPr>
          <w:b/>
          <w:color w:val="auto"/>
          <w:sz w:val="24"/>
          <w:szCs w:val="24"/>
        </w:rPr>
      </w:pPr>
    </w:p>
    <w:sectPr w:rsidR="00EB3469" w:rsidRPr="00D91678" w:rsidSect="0029487E">
      <w:headerReference w:type="default" r:id="rId12"/>
      <w:pgSz w:w="11906" w:h="16838" w:code="9"/>
      <w:pgMar w:top="1701" w:right="1134" w:bottom="1134" w:left="1701" w:header="1021" w:footer="10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D53" w:rsidRDefault="00AE5D53" w:rsidP="0029487E">
      <w:pPr>
        <w:spacing w:after="0" w:line="240" w:lineRule="auto"/>
      </w:pPr>
      <w:r>
        <w:separator/>
      </w:r>
    </w:p>
  </w:endnote>
  <w:endnote w:type="continuationSeparator" w:id="0">
    <w:p w:rsidR="00AE5D53" w:rsidRDefault="00AE5D53" w:rsidP="0029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D53" w:rsidRDefault="00AE5D53" w:rsidP="0029487E">
      <w:pPr>
        <w:spacing w:after="0" w:line="240" w:lineRule="auto"/>
      </w:pPr>
      <w:r>
        <w:separator/>
      </w:r>
    </w:p>
  </w:footnote>
  <w:footnote w:type="continuationSeparator" w:id="0">
    <w:p w:rsidR="00AE5D53" w:rsidRDefault="00AE5D53" w:rsidP="00294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29487E" w:rsidTr="00776776">
      <w:tc>
        <w:tcPr>
          <w:tcW w:w="9344" w:type="dxa"/>
          <w:tcBorders>
            <w:bottom w:val="single" w:sz="4" w:space="0" w:color="auto"/>
          </w:tcBorders>
        </w:tcPr>
        <w:p w:rsidR="0029487E" w:rsidRDefault="0029487E" w:rsidP="0029487E">
          <w:pPr>
            <w:pStyle w:val="Header"/>
            <w:jc w:val="center"/>
          </w:pPr>
          <w:r>
            <w:rPr>
              <w:noProof/>
            </w:rPr>
            <w:drawing>
              <wp:inline distT="0" distB="0" distL="0" distR="0" wp14:anchorId="704EF7E6" wp14:editId="20891730">
                <wp:extent cx="890270" cy="57912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579120"/>
                        </a:xfrm>
                        <a:prstGeom prst="rect">
                          <a:avLst/>
                        </a:prstGeom>
                        <a:noFill/>
                      </pic:spPr>
                    </pic:pic>
                  </a:graphicData>
                </a:graphic>
              </wp:inline>
            </w:drawing>
          </w:r>
        </w:p>
        <w:p w:rsidR="0029487E" w:rsidRDefault="0029487E" w:rsidP="0029487E">
          <w:pPr>
            <w:pStyle w:val="Header"/>
            <w:jc w:val="center"/>
          </w:pPr>
        </w:p>
      </w:tc>
    </w:tr>
    <w:tr w:rsidR="0029487E" w:rsidTr="00776776">
      <w:tc>
        <w:tcPr>
          <w:tcW w:w="93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9487E" w:rsidRPr="00B67132" w:rsidRDefault="0029487E" w:rsidP="0029487E">
          <w:pPr>
            <w:pStyle w:val="Header"/>
            <w:jc w:val="center"/>
            <w:rPr>
              <w:b/>
              <w:sz w:val="36"/>
              <w:szCs w:val="36"/>
            </w:rPr>
          </w:pPr>
          <w:r w:rsidRPr="00B67132">
            <w:rPr>
              <w:b/>
              <w:color w:val="000000" w:themeColor="text1"/>
              <w:sz w:val="36"/>
              <w:szCs w:val="36"/>
            </w:rPr>
            <w:t>ĐIỂM TIN DƯỢC LÂM SÀNG</w:t>
          </w:r>
        </w:p>
      </w:tc>
    </w:tr>
  </w:tbl>
  <w:p w:rsidR="0029487E" w:rsidRDefault="002948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C7"/>
    <w:rsid w:val="000B437C"/>
    <w:rsid w:val="000D4AC1"/>
    <w:rsid w:val="000D5175"/>
    <w:rsid w:val="001416D7"/>
    <w:rsid w:val="00164041"/>
    <w:rsid w:val="00220482"/>
    <w:rsid w:val="00263566"/>
    <w:rsid w:val="0029487E"/>
    <w:rsid w:val="002B6906"/>
    <w:rsid w:val="002B7AC1"/>
    <w:rsid w:val="00323E2E"/>
    <w:rsid w:val="00325511"/>
    <w:rsid w:val="003552A1"/>
    <w:rsid w:val="003A14E1"/>
    <w:rsid w:val="00403AE6"/>
    <w:rsid w:val="0042393C"/>
    <w:rsid w:val="005F75A9"/>
    <w:rsid w:val="00667C86"/>
    <w:rsid w:val="00741F12"/>
    <w:rsid w:val="00751B10"/>
    <w:rsid w:val="007C184F"/>
    <w:rsid w:val="007E2B23"/>
    <w:rsid w:val="0084266F"/>
    <w:rsid w:val="00874F83"/>
    <w:rsid w:val="00946EE1"/>
    <w:rsid w:val="00957455"/>
    <w:rsid w:val="009A1611"/>
    <w:rsid w:val="009F34C7"/>
    <w:rsid w:val="00A627AF"/>
    <w:rsid w:val="00A934F0"/>
    <w:rsid w:val="00AE5D53"/>
    <w:rsid w:val="00B62CBD"/>
    <w:rsid w:val="00BA1932"/>
    <w:rsid w:val="00C13DBD"/>
    <w:rsid w:val="00C14230"/>
    <w:rsid w:val="00C17B76"/>
    <w:rsid w:val="00C5024E"/>
    <w:rsid w:val="00C828C0"/>
    <w:rsid w:val="00CC02B2"/>
    <w:rsid w:val="00D4515F"/>
    <w:rsid w:val="00D90A25"/>
    <w:rsid w:val="00D91678"/>
    <w:rsid w:val="00DA0BF8"/>
    <w:rsid w:val="00E77B36"/>
    <w:rsid w:val="00EB3469"/>
    <w:rsid w:val="00EC2E94"/>
    <w:rsid w:val="00ED6110"/>
    <w:rsid w:val="00F05BC5"/>
    <w:rsid w:val="00F162F1"/>
    <w:rsid w:val="00F345D1"/>
    <w:rsid w:val="00F604D8"/>
    <w:rsid w:val="00FD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BB91"/>
  <w15:chartTrackingRefBased/>
  <w15:docId w15:val="{4C2E4940-3E6C-4BFF-A2CD-57E76EEA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kern w:val="32"/>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906"/>
    <w:pPr>
      <w:spacing w:before="100" w:beforeAutospacing="1" w:after="100" w:afterAutospacing="1" w:line="240" w:lineRule="auto"/>
    </w:pPr>
    <w:rPr>
      <w:rFonts w:eastAsia="Times New Roman"/>
      <w:bCs/>
      <w:color w:val="auto"/>
      <w:kern w:val="0"/>
      <w:sz w:val="24"/>
      <w:szCs w:val="24"/>
    </w:rPr>
  </w:style>
  <w:style w:type="character" w:styleId="Emphasis">
    <w:name w:val="Emphasis"/>
    <w:basedOn w:val="DefaultParagraphFont"/>
    <w:uiPriority w:val="20"/>
    <w:qFormat/>
    <w:rsid w:val="002B6906"/>
    <w:rPr>
      <w:i/>
      <w:iCs/>
    </w:rPr>
  </w:style>
  <w:style w:type="character" w:styleId="Hyperlink">
    <w:name w:val="Hyperlink"/>
    <w:basedOn w:val="DefaultParagraphFont"/>
    <w:uiPriority w:val="99"/>
    <w:unhideWhenUsed/>
    <w:rsid w:val="002B6906"/>
    <w:rPr>
      <w:color w:val="0000FF"/>
      <w:u w:val="single"/>
    </w:rPr>
  </w:style>
  <w:style w:type="character" w:styleId="Strong">
    <w:name w:val="Strong"/>
    <w:basedOn w:val="DefaultParagraphFont"/>
    <w:uiPriority w:val="22"/>
    <w:qFormat/>
    <w:rsid w:val="002B6906"/>
    <w:rPr>
      <w:b/>
      <w:bCs/>
    </w:rPr>
  </w:style>
  <w:style w:type="paragraph" w:styleId="Header">
    <w:name w:val="header"/>
    <w:basedOn w:val="Normal"/>
    <w:link w:val="HeaderChar"/>
    <w:uiPriority w:val="99"/>
    <w:unhideWhenUsed/>
    <w:rsid w:val="00294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87E"/>
  </w:style>
  <w:style w:type="paragraph" w:styleId="Footer">
    <w:name w:val="footer"/>
    <w:basedOn w:val="Normal"/>
    <w:link w:val="FooterChar"/>
    <w:uiPriority w:val="99"/>
    <w:unhideWhenUsed/>
    <w:rsid w:val="00294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87E"/>
  </w:style>
  <w:style w:type="table" w:styleId="TableGrid">
    <w:name w:val="Table Grid"/>
    <w:basedOn w:val="TableNormal"/>
    <w:uiPriority w:val="39"/>
    <w:rsid w:val="0029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un">
    <w:name w:val="textrun"/>
    <w:basedOn w:val="DefaultParagraphFont"/>
    <w:rsid w:val="009A1611"/>
  </w:style>
  <w:style w:type="character" w:customStyle="1" w:styleId="eop">
    <w:name w:val="eop"/>
    <w:basedOn w:val="DefaultParagraphFont"/>
    <w:rsid w:val="009A1611"/>
  </w:style>
  <w:style w:type="character" w:customStyle="1" w:styleId="normaltextrun">
    <w:name w:val="normaltextrun"/>
    <w:basedOn w:val="DefaultParagraphFont"/>
    <w:rsid w:val="009A1611"/>
  </w:style>
  <w:style w:type="character" w:customStyle="1" w:styleId="fontstyle0">
    <w:name w:val="fontstyle0"/>
    <w:basedOn w:val="DefaultParagraphFont"/>
    <w:rsid w:val="0040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3308">
      <w:bodyDiv w:val="1"/>
      <w:marLeft w:val="0"/>
      <w:marRight w:val="0"/>
      <w:marTop w:val="0"/>
      <w:marBottom w:val="0"/>
      <w:divBdr>
        <w:top w:val="none" w:sz="0" w:space="0" w:color="auto"/>
        <w:left w:val="none" w:sz="0" w:space="0" w:color="auto"/>
        <w:bottom w:val="none" w:sz="0" w:space="0" w:color="auto"/>
        <w:right w:val="none" w:sz="0" w:space="0" w:color="auto"/>
      </w:divBdr>
      <w:divsChild>
        <w:div w:id="1384207623">
          <w:marLeft w:val="0"/>
          <w:marRight w:val="0"/>
          <w:marTop w:val="0"/>
          <w:marBottom w:val="0"/>
          <w:divBdr>
            <w:top w:val="none" w:sz="0" w:space="0" w:color="auto"/>
            <w:left w:val="none" w:sz="0" w:space="0" w:color="auto"/>
            <w:bottom w:val="none" w:sz="0" w:space="0" w:color="auto"/>
            <w:right w:val="none" w:sz="0" w:space="0" w:color="auto"/>
          </w:divBdr>
        </w:div>
        <w:div w:id="553271434">
          <w:marLeft w:val="0"/>
          <w:marRight w:val="0"/>
          <w:marTop w:val="0"/>
          <w:marBottom w:val="0"/>
          <w:divBdr>
            <w:top w:val="none" w:sz="0" w:space="0" w:color="auto"/>
            <w:left w:val="none" w:sz="0" w:space="0" w:color="auto"/>
            <w:bottom w:val="none" w:sz="0" w:space="0" w:color="auto"/>
            <w:right w:val="none" w:sz="0" w:space="0" w:color="auto"/>
          </w:divBdr>
        </w:div>
      </w:divsChild>
    </w:div>
    <w:div w:id="194269096">
      <w:bodyDiv w:val="1"/>
      <w:marLeft w:val="0"/>
      <w:marRight w:val="0"/>
      <w:marTop w:val="0"/>
      <w:marBottom w:val="0"/>
      <w:divBdr>
        <w:top w:val="none" w:sz="0" w:space="0" w:color="auto"/>
        <w:left w:val="none" w:sz="0" w:space="0" w:color="auto"/>
        <w:bottom w:val="none" w:sz="0" w:space="0" w:color="auto"/>
        <w:right w:val="none" w:sz="0" w:space="0" w:color="auto"/>
      </w:divBdr>
      <w:divsChild>
        <w:div w:id="410271547">
          <w:marLeft w:val="0"/>
          <w:marRight w:val="0"/>
          <w:marTop w:val="0"/>
          <w:marBottom w:val="0"/>
          <w:divBdr>
            <w:top w:val="none" w:sz="0" w:space="0" w:color="auto"/>
            <w:left w:val="none" w:sz="0" w:space="0" w:color="auto"/>
            <w:bottom w:val="none" w:sz="0" w:space="0" w:color="auto"/>
            <w:right w:val="none" w:sz="0" w:space="0" w:color="auto"/>
          </w:divBdr>
        </w:div>
        <w:div w:id="1211771360">
          <w:marLeft w:val="0"/>
          <w:marRight w:val="0"/>
          <w:marTop w:val="0"/>
          <w:marBottom w:val="0"/>
          <w:divBdr>
            <w:top w:val="none" w:sz="0" w:space="0" w:color="auto"/>
            <w:left w:val="none" w:sz="0" w:space="0" w:color="auto"/>
            <w:bottom w:val="none" w:sz="0" w:space="0" w:color="auto"/>
            <w:right w:val="none" w:sz="0" w:space="0" w:color="auto"/>
          </w:divBdr>
        </w:div>
      </w:divsChild>
    </w:div>
    <w:div w:id="430585693">
      <w:bodyDiv w:val="1"/>
      <w:marLeft w:val="0"/>
      <w:marRight w:val="0"/>
      <w:marTop w:val="0"/>
      <w:marBottom w:val="0"/>
      <w:divBdr>
        <w:top w:val="none" w:sz="0" w:space="0" w:color="auto"/>
        <w:left w:val="none" w:sz="0" w:space="0" w:color="auto"/>
        <w:bottom w:val="none" w:sz="0" w:space="0" w:color="auto"/>
        <w:right w:val="none" w:sz="0" w:space="0" w:color="auto"/>
      </w:divBdr>
      <w:divsChild>
        <w:div w:id="721321215">
          <w:marLeft w:val="0"/>
          <w:marRight w:val="0"/>
          <w:marTop w:val="0"/>
          <w:marBottom w:val="0"/>
          <w:divBdr>
            <w:top w:val="none" w:sz="0" w:space="0" w:color="auto"/>
            <w:left w:val="none" w:sz="0" w:space="0" w:color="auto"/>
            <w:bottom w:val="none" w:sz="0" w:space="0" w:color="auto"/>
            <w:right w:val="none" w:sz="0" w:space="0" w:color="auto"/>
          </w:divBdr>
        </w:div>
        <w:div w:id="39210053">
          <w:marLeft w:val="0"/>
          <w:marRight w:val="0"/>
          <w:marTop w:val="0"/>
          <w:marBottom w:val="0"/>
          <w:divBdr>
            <w:top w:val="none" w:sz="0" w:space="0" w:color="auto"/>
            <w:left w:val="none" w:sz="0" w:space="0" w:color="auto"/>
            <w:bottom w:val="none" w:sz="0" w:space="0" w:color="auto"/>
            <w:right w:val="none" w:sz="0" w:space="0" w:color="auto"/>
          </w:divBdr>
        </w:div>
      </w:divsChild>
    </w:div>
    <w:div w:id="580256807">
      <w:bodyDiv w:val="1"/>
      <w:marLeft w:val="0"/>
      <w:marRight w:val="0"/>
      <w:marTop w:val="0"/>
      <w:marBottom w:val="0"/>
      <w:divBdr>
        <w:top w:val="none" w:sz="0" w:space="0" w:color="auto"/>
        <w:left w:val="none" w:sz="0" w:space="0" w:color="auto"/>
        <w:bottom w:val="none" w:sz="0" w:space="0" w:color="auto"/>
        <w:right w:val="none" w:sz="0" w:space="0" w:color="auto"/>
      </w:divBdr>
      <w:divsChild>
        <w:div w:id="834996327">
          <w:marLeft w:val="0"/>
          <w:marRight w:val="0"/>
          <w:marTop w:val="0"/>
          <w:marBottom w:val="0"/>
          <w:divBdr>
            <w:top w:val="none" w:sz="0" w:space="0" w:color="auto"/>
            <w:left w:val="none" w:sz="0" w:space="0" w:color="auto"/>
            <w:bottom w:val="none" w:sz="0" w:space="0" w:color="auto"/>
            <w:right w:val="none" w:sz="0" w:space="0" w:color="auto"/>
          </w:divBdr>
        </w:div>
        <w:div w:id="1962224097">
          <w:marLeft w:val="0"/>
          <w:marRight w:val="0"/>
          <w:marTop w:val="0"/>
          <w:marBottom w:val="0"/>
          <w:divBdr>
            <w:top w:val="none" w:sz="0" w:space="0" w:color="auto"/>
            <w:left w:val="none" w:sz="0" w:space="0" w:color="auto"/>
            <w:bottom w:val="none" w:sz="0" w:space="0" w:color="auto"/>
            <w:right w:val="none" w:sz="0" w:space="0" w:color="auto"/>
          </w:divBdr>
        </w:div>
      </w:divsChild>
    </w:div>
    <w:div w:id="634794904">
      <w:bodyDiv w:val="1"/>
      <w:marLeft w:val="0"/>
      <w:marRight w:val="0"/>
      <w:marTop w:val="0"/>
      <w:marBottom w:val="0"/>
      <w:divBdr>
        <w:top w:val="none" w:sz="0" w:space="0" w:color="auto"/>
        <w:left w:val="none" w:sz="0" w:space="0" w:color="auto"/>
        <w:bottom w:val="none" w:sz="0" w:space="0" w:color="auto"/>
        <w:right w:val="none" w:sz="0" w:space="0" w:color="auto"/>
      </w:divBdr>
      <w:divsChild>
        <w:div w:id="1198934660">
          <w:marLeft w:val="0"/>
          <w:marRight w:val="0"/>
          <w:marTop w:val="0"/>
          <w:marBottom w:val="0"/>
          <w:divBdr>
            <w:top w:val="none" w:sz="0" w:space="0" w:color="auto"/>
            <w:left w:val="none" w:sz="0" w:space="0" w:color="auto"/>
            <w:bottom w:val="none" w:sz="0" w:space="0" w:color="auto"/>
            <w:right w:val="none" w:sz="0" w:space="0" w:color="auto"/>
          </w:divBdr>
        </w:div>
        <w:div w:id="1012103331">
          <w:marLeft w:val="0"/>
          <w:marRight w:val="0"/>
          <w:marTop w:val="0"/>
          <w:marBottom w:val="0"/>
          <w:divBdr>
            <w:top w:val="none" w:sz="0" w:space="0" w:color="auto"/>
            <w:left w:val="none" w:sz="0" w:space="0" w:color="auto"/>
            <w:bottom w:val="none" w:sz="0" w:space="0" w:color="auto"/>
            <w:right w:val="none" w:sz="0" w:space="0" w:color="auto"/>
          </w:divBdr>
        </w:div>
      </w:divsChild>
    </w:div>
    <w:div w:id="1295527984">
      <w:bodyDiv w:val="1"/>
      <w:marLeft w:val="0"/>
      <w:marRight w:val="0"/>
      <w:marTop w:val="0"/>
      <w:marBottom w:val="0"/>
      <w:divBdr>
        <w:top w:val="none" w:sz="0" w:space="0" w:color="auto"/>
        <w:left w:val="none" w:sz="0" w:space="0" w:color="auto"/>
        <w:bottom w:val="none" w:sz="0" w:space="0" w:color="auto"/>
        <w:right w:val="none" w:sz="0" w:space="0" w:color="auto"/>
      </w:divBdr>
      <w:divsChild>
        <w:div w:id="555314160">
          <w:marLeft w:val="0"/>
          <w:marRight w:val="0"/>
          <w:marTop w:val="0"/>
          <w:marBottom w:val="0"/>
          <w:divBdr>
            <w:top w:val="none" w:sz="0" w:space="0" w:color="auto"/>
            <w:left w:val="none" w:sz="0" w:space="0" w:color="auto"/>
            <w:bottom w:val="none" w:sz="0" w:space="0" w:color="auto"/>
            <w:right w:val="none" w:sz="0" w:space="0" w:color="auto"/>
          </w:divBdr>
        </w:div>
        <w:div w:id="80880234">
          <w:marLeft w:val="0"/>
          <w:marRight w:val="0"/>
          <w:marTop w:val="0"/>
          <w:marBottom w:val="0"/>
          <w:divBdr>
            <w:top w:val="none" w:sz="0" w:space="0" w:color="auto"/>
            <w:left w:val="none" w:sz="0" w:space="0" w:color="auto"/>
            <w:bottom w:val="none" w:sz="0" w:space="0" w:color="auto"/>
            <w:right w:val="none" w:sz="0" w:space="0" w:color="auto"/>
          </w:divBdr>
        </w:div>
      </w:divsChild>
    </w:div>
    <w:div w:id="1370301381">
      <w:bodyDiv w:val="1"/>
      <w:marLeft w:val="0"/>
      <w:marRight w:val="0"/>
      <w:marTop w:val="0"/>
      <w:marBottom w:val="0"/>
      <w:divBdr>
        <w:top w:val="none" w:sz="0" w:space="0" w:color="auto"/>
        <w:left w:val="none" w:sz="0" w:space="0" w:color="auto"/>
        <w:bottom w:val="none" w:sz="0" w:space="0" w:color="auto"/>
        <w:right w:val="none" w:sz="0" w:space="0" w:color="auto"/>
      </w:divBdr>
      <w:divsChild>
        <w:div w:id="1558278835">
          <w:marLeft w:val="0"/>
          <w:marRight w:val="0"/>
          <w:marTop w:val="0"/>
          <w:marBottom w:val="0"/>
          <w:divBdr>
            <w:top w:val="none" w:sz="0" w:space="0" w:color="auto"/>
            <w:left w:val="none" w:sz="0" w:space="0" w:color="auto"/>
            <w:bottom w:val="none" w:sz="0" w:space="0" w:color="auto"/>
            <w:right w:val="none" w:sz="0" w:space="0" w:color="auto"/>
          </w:divBdr>
        </w:div>
        <w:div w:id="1841890146">
          <w:marLeft w:val="0"/>
          <w:marRight w:val="0"/>
          <w:marTop w:val="0"/>
          <w:marBottom w:val="0"/>
          <w:divBdr>
            <w:top w:val="none" w:sz="0" w:space="0" w:color="auto"/>
            <w:left w:val="none" w:sz="0" w:space="0" w:color="auto"/>
            <w:bottom w:val="none" w:sz="0" w:space="0" w:color="auto"/>
            <w:right w:val="none" w:sz="0" w:space="0" w:color="auto"/>
          </w:divBdr>
        </w:div>
      </w:divsChild>
    </w:div>
    <w:div w:id="1481925823">
      <w:bodyDiv w:val="1"/>
      <w:marLeft w:val="0"/>
      <w:marRight w:val="0"/>
      <w:marTop w:val="0"/>
      <w:marBottom w:val="0"/>
      <w:divBdr>
        <w:top w:val="none" w:sz="0" w:space="0" w:color="auto"/>
        <w:left w:val="none" w:sz="0" w:space="0" w:color="auto"/>
        <w:bottom w:val="none" w:sz="0" w:space="0" w:color="auto"/>
        <w:right w:val="none" w:sz="0" w:space="0" w:color="auto"/>
      </w:divBdr>
      <w:divsChild>
        <w:div w:id="873692653">
          <w:marLeft w:val="0"/>
          <w:marRight w:val="0"/>
          <w:marTop w:val="0"/>
          <w:marBottom w:val="0"/>
          <w:divBdr>
            <w:top w:val="none" w:sz="0" w:space="0" w:color="auto"/>
            <w:left w:val="none" w:sz="0" w:space="0" w:color="auto"/>
            <w:bottom w:val="none" w:sz="0" w:space="0" w:color="auto"/>
            <w:right w:val="none" w:sz="0" w:space="0" w:color="auto"/>
          </w:divBdr>
        </w:div>
        <w:div w:id="237054581">
          <w:marLeft w:val="0"/>
          <w:marRight w:val="0"/>
          <w:marTop w:val="0"/>
          <w:marBottom w:val="0"/>
          <w:divBdr>
            <w:top w:val="none" w:sz="0" w:space="0" w:color="auto"/>
            <w:left w:val="none" w:sz="0" w:space="0" w:color="auto"/>
            <w:bottom w:val="none" w:sz="0" w:space="0" w:color="auto"/>
            <w:right w:val="none" w:sz="0" w:space="0" w:color="auto"/>
          </w:divBdr>
        </w:div>
      </w:divsChild>
    </w:div>
    <w:div w:id="1482959521">
      <w:bodyDiv w:val="1"/>
      <w:marLeft w:val="0"/>
      <w:marRight w:val="0"/>
      <w:marTop w:val="0"/>
      <w:marBottom w:val="0"/>
      <w:divBdr>
        <w:top w:val="none" w:sz="0" w:space="0" w:color="auto"/>
        <w:left w:val="none" w:sz="0" w:space="0" w:color="auto"/>
        <w:bottom w:val="none" w:sz="0" w:space="0" w:color="auto"/>
        <w:right w:val="none" w:sz="0" w:space="0" w:color="auto"/>
      </w:divBdr>
      <w:divsChild>
        <w:div w:id="1324580512">
          <w:marLeft w:val="0"/>
          <w:marRight w:val="0"/>
          <w:marTop w:val="0"/>
          <w:marBottom w:val="0"/>
          <w:divBdr>
            <w:top w:val="none" w:sz="0" w:space="0" w:color="auto"/>
            <w:left w:val="none" w:sz="0" w:space="0" w:color="auto"/>
            <w:bottom w:val="none" w:sz="0" w:space="0" w:color="auto"/>
            <w:right w:val="none" w:sz="0" w:space="0" w:color="auto"/>
          </w:divBdr>
        </w:div>
        <w:div w:id="1555391290">
          <w:marLeft w:val="0"/>
          <w:marRight w:val="0"/>
          <w:marTop w:val="0"/>
          <w:marBottom w:val="0"/>
          <w:divBdr>
            <w:top w:val="none" w:sz="0" w:space="0" w:color="auto"/>
            <w:left w:val="none" w:sz="0" w:space="0" w:color="auto"/>
            <w:bottom w:val="none" w:sz="0" w:space="0" w:color="auto"/>
            <w:right w:val="none" w:sz="0" w:space="0" w:color="auto"/>
          </w:divBdr>
        </w:div>
      </w:divsChild>
    </w:div>
    <w:div w:id="1591111603">
      <w:bodyDiv w:val="1"/>
      <w:marLeft w:val="0"/>
      <w:marRight w:val="0"/>
      <w:marTop w:val="0"/>
      <w:marBottom w:val="0"/>
      <w:divBdr>
        <w:top w:val="none" w:sz="0" w:space="0" w:color="auto"/>
        <w:left w:val="none" w:sz="0" w:space="0" w:color="auto"/>
        <w:bottom w:val="none" w:sz="0" w:space="0" w:color="auto"/>
        <w:right w:val="none" w:sz="0" w:space="0" w:color="auto"/>
      </w:divBdr>
      <w:divsChild>
        <w:div w:id="1769159056">
          <w:marLeft w:val="0"/>
          <w:marRight w:val="0"/>
          <w:marTop w:val="0"/>
          <w:marBottom w:val="0"/>
          <w:divBdr>
            <w:top w:val="none" w:sz="0" w:space="0" w:color="auto"/>
            <w:left w:val="none" w:sz="0" w:space="0" w:color="auto"/>
            <w:bottom w:val="none" w:sz="0" w:space="0" w:color="auto"/>
            <w:right w:val="none" w:sz="0" w:space="0" w:color="auto"/>
          </w:divBdr>
        </w:div>
        <w:div w:id="1608541814">
          <w:marLeft w:val="0"/>
          <w:marRight w:val="0"/>
          <w:marTop w:val="0"/>
          <w:marBottom w:val="0"/>
          <w:divBdr>
            <w:top w:val="none" w:sz="0" w:space="0" w:color="auto"/>
            <w:left w:val="none" w:sz="0" w:space="0" w:color="auto"/>
            <w:bottom w:val="none" w:sz="0" w:space="0" w:color="auto"/>
            <w:right w:val="none" w:sz="0" w:space="0" w:color="auto"/>
          </w:divBdr>
        </w:div>
      </w:divsChild>
    </w:div>
    <w:div w:id="1745907439">
      <w:bodyDiv w:val="1"/>
      <w:marLeft w:val="0"/>
      <w:marRight w:val="0"/>
      <w:marTop w:val="0"/>
      <w:marBottom w:val="0"/>
      <w:divBdr>
        <w:top w:val="none" w:sz="0" w:space="0" w:color="auto"/>
        <w:left w:val="none" w:sz="0" w:space="0" w:color="auto"/>
        <w:bottom w:val="none" w:sz="0" w:space="0" w:color="auto"/>
        <w:right w:val="none" w:sz="0" w:space="0" w:color="auto"/>
      </w:divBdr>
      <w:divsChild>
        <w:div w:id="51315926">
          <w:marLeft w:val="0"/>
          <w:marRight w:val="0"/>
          <w:marTop w:val="0"/>
          <w:marBottom w:val="0"/>
          <w:divBdr>
            <w:top w:val="none" w:sz="0" w:space="0" w:color="auto"/>
            <w:left w:val="none" w:sz="0" w:space="0" w:color="auto"/>
            <w:bottom w:val="none" w:sz="0" w:space="0" w:color="auto"/>
            <w:right w:val="none" w:sz="0" w:space="0" w:color="auto"/>
          </w:divBdr>
        </w:div>
        <w:div w:id="2103986908">
          <w:marLeft w:val="0"/>
          <w:marRight w:val="0"/>
          <w:marTop w:val="0"/>
          <w:marBottom w:val="0"/>
          <w:divBdr>
            <w:top w:val="none" w:sz="0" w:space="0" w:color="auto"/>
            <w:left w:val="none" w:sz="0" w:space="0" w:color="auto"/>
            <w:bottom w:val="none" w:sz="0" w:space="0" w:color="auto"/>
            <w:right w:val="none" w:sz="0" w:space="0" w:color="auto"/>
          </w:divBdr>
        </w:div>
      </w:divsChild>
    </w:div>
    <w:div w:id="1766337643">
      <w:bodyDiv w:val="1"/>
      <w:marLeft w:val="0"/>
      <w:marRight w:val="0"/>
      <w:marTop w:val="0"/>
      <w:marBottom w:val="0"/>
      <w:divBdr>
        <w:top w:val="none" w:sz="0" w:space="0" w:color="auto"/>
        <w:left w:val="none" w:sz="0" w:space="0" w:color="auto"/>
        <w:bottom w:val="none" w:sz="0" w:space="0" w:color="auto"/>
        <w:right w:val="none" w:sz="0" w:space="0" w:color="auto"/>
      </w:divBdr>
      <w:divsChild>
        <w:div w:id="6758196">
          <w:marLeft w:val="0"/>
          <w:marRight w:val="0"/>
          <w:marTop w:val="0"/>
          <w:marBottom w:val="0"/>
          <w:divBdr>
            <w:top w:val="none" w:sz="0" w:space="0" w:color="auto"/>
            <w:left w:val="none" w:sz="0" w:space="0" w:color="auto"/>
            <w:bottom w:val="none" w:sz="0" w:space="0" w:color="auto"/>
            <w:right w:val="none" w:sz="0" w:space="0" w:color="auto"/>
          </w:divBdr>
        </w:div>
        <w:div w:id="389771772">
          <w:marLeft w:val="0"/>
          <w:marRight w:val="0"/>
          <w:marTop w:val="0"/>
          <w:marBottom w:val="0"/>
          <w:divBdr>
            <w:top w:val="none" w:sz="0" w:space="0" w:color="auto"/>
            <w:left w:val="none" w:sz="0" w:space="0" w:color="auto"/>
            <w:bottom w:val="none" w:sz="0" w:space="0" w:color="auto"/>
            <w:right w:val="none" w:sz="0" w:space="0" w:color="auto"/>
          </w:divBdr>
        </w:div>
      </w:divsChild>
    </w:div>
    <w:div w:id="1868332792">
      <w:bodyDiv w:val="1"/>
      <w:marLeft w:val="0"/>
      <w:marRight w:val="0"/>
      <w:marTop w:val="0"/>
      <w:marBottom w:val="0"/>
      <w:divBdr>
        <w:top w:val="none" w:sz="0" w:space="0" w:color="auto"/>
        <w:left w:val="none" w:sz="0" w:space="0" w:color="auto"/>
        <w:bottom w:val="none" w:sz="0" w:space="0" w:color="auto"/>
        <w:right w:val="none" w:sz="0" w:space="0" w:color="auto"/>
      </w:divBdr>
      <w:divsChild>
        <w:div w:id="965047208">
          <w:marLeft w:val="0"/>
          <w:marRight w:val="0"/>
          <w:marTop w:val="0"/>
          <w:marBottom w:val="0"/>
          <w:divBdr>
            <w:top w:val="none" w:sz="0" w:space="0" w:color="auto"/>
            <w:left w:val="none" w:sz="0" w:space="0" w:color="auto"/>
            <w:bottom w:val="none" w:sz="0" w:space="0" w:color="auto"/>
            <w:right w:val="none" w:sz="0" w:space="0" w:color="auto"/>
          </w:divBdr>
        </w:div>
        <w:div w:id="691688440">
          <w:marLeft w:val="0"/>
          <w:marRight w:val="0"/>
          <w:marTop w:val="0"/>
          <w:marBottom w:val="0"/>
          <w:divBdr>
            <w:top w:val="none" w:sz="0" w:space="0" w:color="auto"/>
            <w:left w:val="none" w:sz="0" w:space="0" w:color="auto"/>
            <w:bottom w:val="none" w:sz="0" w:space="0" w:color="auto"/>
            <w:right w:val="none" w:sz="0" w:space="0" w:color="auto"/>
          </w:divBdr>
        </w:div>
      </w:divsChild>
    </w:div>
    <w:div w:id="2067146087">
      <w:bodyDiv w:val="1"/>
      <w:marLeft w:val="0"/>
      <w:marRight w:val="0"/>
      <w:marTop w:val="0"/>
      <w:marBottom w:val="0"/>
      <w:divBdr>
        <w:top w:val="none" w:sz="0" w:space="0" w:color="auto"/>
        <w:left w:val="none" w:sz="0" w:space="0" w:color="auto"/>
        <w:bottom w:val="none" w:sz="0" w:space="0" w:color="auto"/>
        <w:right w:val="none" w:sz="0" w:space="0" w:color="auto"/>
      </w:divBdr>
      <w:divsChild>
        <w:div w:id="474493401">
          <w:marLeft w:val="0"/>
          <w:marRight w:val="0"/>
          <w:marTop w:val="0"/>
          <w:marBottom w:val="0"/>
          <w:divBdr>
            <w:top w:val="none" w:sz="0" w:space="0" w:color="auto"/>
            <w:left w:val="none" w:sz="0" w:space="0" w:color="auto"/>
            <w:bottom w:val="none" w:sz="0" w:space="0" w:color="auto"/>
            <w:right w:val="none" w:sz="0" w:space="0" w:color="auto"/>
          </w:divBdr>
        </w:div>
        <w:div w:id="1862475398">
          <w:marLeft w:val="0"/>
          <w:marRight w:val="0"/>
          <w:marTop w:val="0"/>
          <w:marBottom w:val="0"/>
          <w:divBdr>
            <w:top w:val="none" w:sz="0" w:space="0" w:color="auto"/>
            <w:left w:val="none" w:sz="0" w:space="0" w:color="auto"/>
            <w:bottom w:val="none" w:sz="0" w:space="0" w:color="auto"/>
            <w:right w:val="none" w:sz="0" w:space="0" w:color="auto"/>
          </w:divBdr>
        </w:div>
      </w:divsChild>
    </w:div>
    <w:div w:id="2115637792">
      <w:bodyDiv w:val="1"/>
      <w:marLeft w:val="0"/>
      <w:marRight w:val="0"/>
      <w:marTop w:val="0"/>
      <w:marBottom w:val="0"/>
      <w:divBdr>
        <w:top w:val="none" w:sz="0" w:space="0" w:color="auto"/>
        <w:left w:val="none" w:sz="0" w:space="0" w:color="auto"/>
        <w:bottom w:val="none" w:sz="0" w:space="0" w:color="auto"/>
        <w:right w:val="none" w:sz="0" w:space="0" w:color="auto"/>
      </w:divBdr>
      <w:divsChild>
        <w:div w:id="1976712833">
          <w:marLeft w:val="0"/>
          <w:marRight w:val="0"/>
          <w:marTop w:val="0"/>
          <w:marBottom w:val="0"/>
          <w:divBdr>
            <w:top w:val="none" w:sz="0" w:space="0" w:color="auto"/>
            <w:left w:val="none" w:sz="0" w:space="0" w:color="auto"/>
            <w:bottom w:val="none" w:sz="0" w:space="0" w:color="auto"/>
            <w:right w:val="none" w:sz="0" w:space="0" w:color="auto"/>
          </w:divBdr>
        </w:div>
        <w:div w:id="1565946234">
          <w:marLeft w:val="0"/>
          <w:marRight w:val="0"/>
          <w:marTop w:val="0"/>
          <w:marBottom w:val="0"/>
          <w:divBdr>
            <w:top w:val="none" w:sz="0" w:space="0" w:color="auto"/>
            <w:left w:val="none" w:sz="0" w:space="0" w:color="auto"/>
            <w:bottom w:val="none" w:sz="0" w:space="0" w:color="auto"/>
            <w:right w:val="none" w:sz="0" w:space="0" w:color="auto"/>
          </w:divBdr>
          <w:divsChild>
            <w:div w:id="2001620874">
              <w:marLeft w:val="0"/>
              <w:marRight w:val="0"/>
              <w:marTop w:val="0"/>
              <w:marBottom w:val="0"/>
              <w:divBdr>
                <w:top w:val="none" w:sz="0" w:space="0" w:color="auto"/>
                <w:left w:val="none" w:sz="0" w:space="0" w:color="auto"/>
                <w:bottom w:val="none" w:sz="0" w:space="0" w:color="auto"/>
                <w:right w:val="none" w:sz="0" w:space="0" w:color="auto"/>
              </w:divBdr>
            </w:div>
            <w:div w:id="11496072">
              <w:marLeft w:val="0"/>
              <w:marRight w:val="0"/>
              <w:marTop w:val="0"/>
              <w:marBottom w:val="0"/>
              <w:divBdr>
                <w:top w:val="none" w:sz="0" w:space="0" w:color="auto"/>
                <w:left w:val="none" w:sz="0" w:space="0" w:color="auto"/>
                <w:bottom w:val="none" w:sz="0" w:space="0" w:color="auto"/>
                <w:right w:val="none" w:sz="0" w:space="0" w:color="auto"/>
              </w:divBdr>
            </w:div>
            <w:div w:id="154761476">
              <w:marLeft w:val="0"/>
              <w:marRight w:val="0"/>
              <w:marTop w:val="0"/>
              <w:marBottom w:val="0"/>
              <w:divBdr>
                <w:top w:val="none" w:sz="0" w:space="0" w:color="auto"/>
                <w:left w:val="none" w:sz="0" w:space="0" w:color="auto"/>
                <w:bottom w:val="none" w:sz="0" w:space="0" w:color="auto"/>
                <w:right w:val="none" w:sz="0" w:space="0" w:color="auto"/>
              </w:divBdr>
            </w:div>
            <w:div w:id="1290285195">
              <w:marLeft w:val="0"/>
              <w:marRight w:val="0"/>
              <w:marTop w:val="0"/>
              <w:marBottom w:val="0"/>
              <w:divBdr>
                <w:top w:val="none" w:sz="0" w:space="0" w:color="auto"/>
                <w:left w:val="none" w:sz="0" w:space="0" w:color="auto"/>
                <w:bottom w:val="none" w:sz="0" w:space="0" w:color="auto"/>
                <w:right w:val="none" w:sz="0" w:space="0" w:color="auto"/>
              </w:divBdr>
            </w:div>
            <w:div w:id="1215775777">
              <w:marLeft w:val="0"/>
              <w:marRight w:val="0"/>
              <w:marTop w:val="0"/>
              <w:marBottom w:val="0"/>
              <w:divBdr>
                <w:top w:val="none" w:sz="0" w:space="0" w:color="auto"/>
                <w:left w:val="none" w:sz="0" w:space="0" w:color="auto"/>
                <w:bottom w:val="none" w:sz="0" w:space="0" w:color="auto"/>
                <w:right w:val="none" w:sz="0" w:space="0" w:color="auto"/>
              </w:divBdr>
            </w:div>
            <w:div w:id="1201474204">
              <w:marLeft w:val="0"/>
              <w:marRight w:val="0"/>
              <w:marTop w:val="0"/>
              <w:marBottom w:val="0"/>
              <w:divBdr>
                <w:top w:val="none" w:sz="0" w:space="0" w:color="auto"/>
                <w:left w:val="none" w:sz="0" w:space="0" w:color="auto"/>
                <w:bottom w:val="none" w:sz="0" w:space="0" w:color="auto"/>
                <w:right w:val="none" w:sz="0" w:space="0" w:color="auto"/>
              </w:divBdr>
            </w:div>
            <w:div w:id="3760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6125_QLD_CL_13.7.22.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drug-safety-update/metformin-and-reduced-vitamin-b12-levels-new-advice-for-monitoring-patients-at-risk" TargetMode="External"/><Relationship Id="rId11" Type="http://schemas.openxmlformats.org/officeDocument/2006/relationships/hyperlink" Target="../5710_QLD_CL_01.7.22.pdf"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6</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KHOAKHAMBENH</dc:creator>
  <cp:keywords/>
  <dc:description/>
  <cp:lastModifiedBy>KHOAKHAMBENH</cp:lastModifiedBy>
  <cp:revision>24</cp:revision>
  <dcterms:created xsi:type="dcterms:W3CDTF">2022-03-21T03:28:00Z</dcterms:created>
  <dcterms:modified xsi:type="dcterms:W3CDTF">2022-09-26T08:47:00Z</dcterms:modified>
</cp:coreProperties>
</file>